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90"/>
        <w:gridCol w:w="6"/>
      </w:tblGrid>
      <w:tr w:rsidR="00C93C6A" w:rsidRPr="00C93C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C6A" w:rsidRPr="00C93C6A" w:rsidRDefault="00C93C6A" w:rsidP="00C93C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571A0"/>
                <w:sz w:val="34"/>
                <w:szCs w:val="34"/>
                <w:lang w:eastAsia="es-CO"/>
              </w:rPr>
            </w:pPr>
            <w:proofErr w:type="spellStart"/>
            <w:r w:rsidRPr="00C93C6A">
              <w:rPr>
                <w:rFonts w:ascii="Arial" w:eastAsia="Times New Roman" w:hAnsi="Arial" w:cs="Arial"/>
                <w:b/>
                <w:bCs/>
                <w:color w:val="1571A0"/>
                <w:sz w:val="34"/>
                <w:szCs w:val="34"/>
                <w:lang w:eastAsia="es-CO"/>
              </w:rPr>
              <w:t>Histeroscopia</w:t>
            </w:r>
            <w:proofErr w:type="spellEnd"/>
            <w:r w:rsidRPr="00C93C6A">
              <w:rPr>
                <w:rFonts w:ascii="Arial" w:eastAsia="Times New Roman" w:hAnsi="Arial" w:cs="Arial"/>
                <w:b/>
                <w:bCs/>
                <w:color w:val="1571A0"/>
                <w:sz w:val="34"/>
                <w:szCs w:val="34"/>
                <w:lang w:eastAsia="es-CO"/>
              </w:rPr>
              <w:t xml:space="preserve"> Diagnóstica en Ginecología General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3C6A" w:rsidRPr="00C93C6A" w:rsidRDefault="00C93C6A" w:rsidP="00C93C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</w:p>
        </w:tc>
      </w:tr>
    </w:tbl>
    <w:p w:rsidR="00C93C6A" w:rsidRPr="00C93C6A" w:rsidRDefault="00C93C6A" w:rsidP="00C93C6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es-CO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96"/>
      </w:tblGrid>
      <w:tr w:rsidR="00C93C6A" w:rsidRPr="00C93C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C6A" w:rsidRPr="00C93C6A" w:rsidRDefault="00C93C6A" w:rsidP="00C93C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</w:p>
        </w:tc>
      </w:tr>
    </w:tbl>
    <w:p w:rsidR="00C93C6A" w:rsidRPr="00C93C6A" w:rsidRDefault="00C93C6A" w:rsidP="00C93C6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es-CO"/>
        </w:rPr>
      </w:pPr>
    </w:p>
    <w:tbl>
      <w:tblPr>
        <w:tblW w:w="4750" w:type="pct"/>
        <w:tblCellSpacing w:w="0" w:type="dxa"/>
        <w:tblBorders>
          <w:top w:val="threeDEmboss" w:sz="6" w:space="0" w:color="DCDCDC"/>
          <w:left w:val="threeDEmboss" w:sz="6" w:space="0" w:color="DCDCDC"/>
          <w:bottom w:val="threeDEmboss" w:sz="6" w:space="0" w:color="DCDCDC"/>
          <w:right w:val="threeDEmboss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8482"/>
      </w:tblGrid>
      <w:tr w:rsidR="00C93C6A" w:rsidRPr="00C93C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C6A" w:rsidRPr="00C93C6A" w:rsidRDefault="00C93C6A" w:rsidP="00C93C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</w:p>
        </w:tc>
      </w:tr>
    </w:tbl>
    <w:p w:rsidR="00C93C6A" w:rsidRPr="00C93C6A" w:rsidRDefault="00C93C6A" w:rsidP="00C93C6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es-CO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38"/>
      </w:tblGrid>
      <w:tr w:rsidR="00C93C6A" w:rsidRPr="00C93C6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C6A" w:rsidRPr="00C93C6A" w:rsidRDefault="00C93C6A" w:rsidP="00C93C6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36799"/>
                <w:sz w:val="26"/>
                <w:szCs w:val="26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36799"/>
                <w:sz w:val="26"/>
                <w:szCs w:val="26"/>
                <w:lang w:eastAsia="es-CO"/>
              </w:rPr>
              <w:drawing>
                <wp:inline distT="0" distB="0" distL="0" distR="0">
                  <wp:extent cx="71120" cy="71120"/>
                  <wp:effectExtent l="19050" t="0" r="5080" b="0"/>
                  <wp:docPr id="1" name="Imagen 1" descr="http://www.prosego.com/templates/prosego/images/flecha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sego.com/templates/prosego/images/flecha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36799"/>
                <w:sz w:val="26"/>
                <w:szCs w:val="26"/>
                <w:lang w:eastAsia="es-CO"/>
              </w:rPr>
              <w:drawing>
                <wp:inline distT="0" distB="0" distL="0" distR="0">
                  <wp:extent cx="47625" cy="71120"/>
                  <wp:effectExtent l="0" t="0" r="0" b="0"/>
                  <wp:docPr id="2" name="Imagen 2" descr="http://www.prosego.com/templates/prosego/images/flecha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sego.com/templates/prosego/images/flecha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3C6A">
              <w:rPr>
                <w:rFonts w:ascii="Verdana" w:eastAsia="Times New Roman" w:hAnsi="Verdana" w:cs="Times New Roman"/>
                <w:b/>
                <w:bCs/>
                <w:color w:val="036799"/>
                <w:sz w:val="26"/>
                <w:szCs w:val="26"/>
                <w:lang w:eastAsia="es-CO"/>
              </w:rPr>
              <w:t xml:space="preserve">1 </w:t>
            </w:r>
            <w:hyperlink r:id="rId7" w:history="1">
              <w:r w:rsidRPr="00C93C6A">
                <w:rPr>
                  <w:rFonts w:ascii="Verdana" w:eastAsia="Times New Roman" w:hAnsi="Verdana" w:cs="Times New Roman"/>
                  <w:b/>
                  <w:bCs/>
                  <w:color w:val="03689A"/>
                  <w:lang w:eastAsia="es-CO"/>
                </w:rPr>
                <w:t>2</w:t>
              </w:r>
            </w:hyperlink>
            <w:r w:rsidRPr="00C93C6A">
              <w:rPr>
                <w:rFonts w:ascii="Verdana" w:eastAsia="Times New Roman" w:hAnsi="Verdana" w:cs="Times New Roman"/>
                <w:b/>
                <w:bCs/>
                <w:color w:val="036799"/>
                <w:sz w:val="26"/>
                <w:szCs w:val="26"/>
                <w:lang w:eastAsia="es-CO"/>
              </w:rPr>
              <w:t xml:space="preserve"> </w:t>
            </w:r>
            <w:hyperlink r:id="rId8" w:history="1">
              <w:r w:rsidRPr="00C93C6A">
                <w:rPr>
                  <w:rFonts w:ascii="Verdana" w:eastAsia="Times New Roman" w:hAnsi="Verdana" w:cs="Times New Roman"/>
                  <w:b/>
                  <w:bCs/>
                  <w:color w:val="03689A"/>
                  <w:lang w:eastAsia="es-CO"/>
                </w:rPr>
                <w:t>3</w:t>
              </w:r>
            </w:hyperlink>
            <w:r w:rsidRPr="00C93C6A">
              <w:rPr>
                <w:rFonts w:ascii="Verdana" w:eastAsia="Times New Roman" w:hAnsi="Verdana" w:cs="Times New Roman"/>
                <w:b/>
                <w:bCs/>
                <w:color w:val="036799"/>
                <w:sz w:val="26"/>
                <w:szCs w:val="26"/>
                <w:lang w:eastAsia="es-CO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3689A"/>
                <w:sz w:val="26"/>
                <w:szCs w:val="26"/>
                <w:lang w:eastAsia="es-CO"/>
              </w:rPr>
              <w:drawing>
                <wp:inline distT="0" distB="0" distL="0" distR="0">
                  <wp:extent cx="47625" cy="71120"/>
                  <wp:effectExtent l="19050" t="0" r="9525" b="0"/>
                  <wp:docPr id="3" name="Imagen 3" descr="http://www.prosego.com/templates/prosego/images/flecha1.gif">
                    <a:hlinkClick xmlns:a="http://schemas.openxmlformats.org/drawingml/2006/main" r:id="rId7" tooltip="&quot;next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ego.com/templates/prosego/images/flecha1.gif">
                            <a:hlinkClick r:id="rId7" tooltip="&quot;next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3689A"/>
                <w:sz w:val="26"/>
                <w:szCs w:val="26"/>
                <w:lang w:eastAsia="es-CO"/>
              </w:rPr>
              <w:drawing>
                <wp:inline distT="0" distB="0" distL="0" distR="0">
                  <wp:extent cx="71120" cy="71120"/>
                  <wp:effectExtent l="19050" t="0" r="5080" b="0"/>
                  <wp:docPr id="4" name="Imagen 4" descr="http://www.prosego.com/templates/prosego/images/flecha.gif">
                    <a:hlinkClick xmlns:a="http://schemas.openxmlformats.org/drawingml/2006/main" r:id="rId8" tooltip="&quot;end 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rosego.com/templates/prosego/images/flecha.gif">
                            <a:hlinkClick r:id="rId8" tooltip="&quot;end 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" cy="7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C6A" w:rsidRDefault="00C93C6A" w:rsidP="00C93C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lang w:eastAsia="es-CO"/>
              </w:rPr>
              <w:t>http://www.prosego.com/index.php?option=content&amp;task=view&amp;id=117&amp;Itemid=40</w:t>
            </w:r>
          </w:p>
          <w:p w:rsidR="00C93C6A" w:rsidRPr="00C93C6A" w:rsidRDefault="00C93C6A" w:rsidP="00C93C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lang w:eastAsia="es-CO"/>
              </w:rPr>
              <w:t>Visto 27 de enero de 2010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i/>
                <w:iCs/>
                <w:color w:val="000000"/>
                <w:sz w:val="21"/>
                <w:szCs w:val="21"/>
                <w:lang w:eastAsia="es-CO"/>
              </w:rPr>
              <w:t>(Protocolo actualizado en 1995)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CO"/>
              </w:rPr>
              <w:t>INTRODUCCIÓN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El perfeccionamiento del instrumental utilizado en las exploraciones endoscópicas ha hecho que la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histeroscopia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sufra en los últimos años una gran evolución. Esta mejora posibilita la utilización de instrumentos más pequeños, menos traumáticos y con suficiente capacidad visual y diagnóstica para que la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histeroscopia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pueda ser considerada como una prueba complementaria más en el diagnóstico de muchos procesos ginecológicos.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Estos progresos han hecho que sea un método relativamente inocuo, sencillo y eficaz, sin embargo, debe usarse de forma cauta y en combinación con otros métodos para mejorar su precisión diagnóstica.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Al margen de la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histeroscopia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quirúrgica, de la que no trata este protocolo, disponemos de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histeroscopios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lo suficientemente finos para poder realizar la exploración en la consulta del ginecólogo, o al menos de forma ambulante. La facilidad a la hora de programar esta técnica, puesto que no requiere quirófano ni ingreso hospitalario, supone una ventaja adicional.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CO"/>
              </w:rPr>
              <w:t>INDICACIONES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1.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Metorragia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uterina anormal: la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histeroscopia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permite la visión completa de la cavidad uterina y la toma de biopsias en caso de lesiones sospechosas. De esta manera es posible la visualización de miomas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submucosos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, pólipos endometriales, diagnóstico de hiperplasias y carcinoma de endometrio. Igualmente puede ayudar al legrado en la orientación de zonas sospechosas.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2. Esterilidad e infertilidad. </w:t>
            </w:r>
          </w:p>
          <w:p w:rsidR="00C93C6A" w:rsidRPr="00C93C6A" w:rsidRDefault="00C93C6A" w:rsidP="00C93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Factor cervical.</w:t>
            </w:r>
          </w:p>
          <w:p w:rsidR="00C93C6A" w:rsidRPr="00C93C6A" w:rsidRDefault="00C93C6A" w:rsidP="00C93C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Factor uterino (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sinequias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, malformaciones congénitas, etc.).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3. Localización de cuerpos extraños (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DIUs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).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4. Indicación y control de terapéutica: control de hiperplasias tras tratamiento médico. Control de la cavidad tras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miomectomía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o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metroplastias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5. Diagnóstico y seguimiento de la enfermedad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trofoblástica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lastRenderedPageBreak/>
              <w:t>6. Localización de restos placentarios o abortivos.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CO"/>
              </w:rPr>
              <w:t>CONTRAINDICACIONES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1. Absolutas. </w:t>
            </w:r>
          </w:p>
          <w:p w:rsidR="00C93C6A" w:rsidRPr="00C93C6A" w:rsidRDefault="00C93C6A" w:rsidP="00C93C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Infección pélvica activa o muy reciente.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2. Relativas. </w:t>
            </w:r>
          </w:p>
          <w:p w:rsidR="00C93C6A" w:rsidRPr="00C93C6A" w:rsidRDefault="00C93C6A" w:rsidP="00C93C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Perforación uterina o cirugía reciente sobre el útero. </w:t>
            </w:r>
          </w:p>
          <w:p w:rsidR="00C93C6A" w:rsidRDefault="00C93C6A" w:rsidP="00C93C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Embarazo: las condiciones especiales del útero grávido suponen mayor riesgo de complicaciones, sobre todo hemorrágicos. Algunos autores la desaconsejan por el riesgo de aborto y el posible efecto </w:t>
            </w:r>
            <w:proofErr w:type="spellStart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teratógena</w:t>
            </w:r>
            <w:proofErr w:type="spellEnd"/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 xml:space="preserve"> del CO</w:t>
            </w: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bscript"/>
                <w:lang w:eastAsia="es-CO"/>
              </w:rPr>
              <w:t>2</w:t>
            </w:r>
            <w:r w:rsidRPr="00C93C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  <w:t>.</w:t>
            </w: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MATERIAL</w:t>
            </w:r>
          </w:p>
          <w:p w:rsidR="00C93C6A" w:rsidRDefault="00C93C6A" w:rsidP="00C93C6A">
            <w:pPr>
              <w:pStyle w:val="NormalWeb"/>
            </w:pPr>
            <w:r>
              <w:t>Es importante disponer de una sala de suficiente capacidad, adecuada para permitir la colocación cómoda del material y contar con ayuda de personal auxiliar que conozca el instrumental y la técnica.</w:t>
            </w:r>
          </w:p>
          <w:p w:rsidR="00C93C6A" w:rsidRDefault="00C93C6A" w:rsidP="00C93C6A">
            <w:pPr>
              <w:pStyle w:val="NormalWeb"/>
            </w:pPr>
            <w:r>
              <w:t>1. Mesa de exploración ginecológica.</w:t>
            </w:r>
          </w:p>
          <w:p w:rsidR="00C93C6A" w:rsidRDefault="00C93C6A" w:rsidP="00C93C6A">
            <w:pPr>
              <w:pStyle w:val="NormalWeb"/>
            </w:pPr>
            <w:r>
              <w:t xml:space="preserve">2. Espéculo abierto en un lateral para facilitar el movimiento del </w:t>
            </w:r>
            <w:proofErr w:type="spellStart"/>
            <w:r>
              <w:t>histeroscopio</w:t>
            </w:r>
            <w:proofErr w:type="spellEnd"/>
            <w:r>
              <w:t xml:space="preserve"> o la retirada del espéculo durante la exploración.</w:t>
            </w:r>
          </w:p>
          <w:p w:rsidR="00C93C6A" w:rsidRDefault="00C93C6A" w:rsidP="00C93C6A">
            <w:pPr>
              <w:pStyle w:val="NormalWeb"/>
            </w:pPr>
            <w:r>
              <w:t>3. Pinzas para fraccionar el cuello (</w:t>
            </w:r>
            <w:proofErr w:type="spellStart"/>
            <w:r>
              <w:t>Pozzi</w:t>
            </w:r>
            <w:proofErr w:type="spellEnd"/>
            <w:r>
              <w:t>).</w:t>
            </w:r>
          </w:p>
          <w:p w:rsidR="00C93C6A" w:rsidRDefault="00C93C6A" w:rsidP="00C93C6A">
            <w:pPr>
              <w:pStyle w:val="NormalWeb"/>
            </w:pPr>
            <w:r>
              <w:t>4. Anestésico local.</w:t>
            </w:r>
          </w:p>
          <w:p w:rsidR="00C93C6A" w:rsidRDefault="00C93C6A" w:rsidP="00C93C6A">
            <w:pPr>
              <w:pStyle w:val="NormalWeb"/>
            </w:pPr>
            <w:r>
              <w:t xml:space="preserve">5. Dilatadores de </w:t>
            </w:r>
            <w:proofErr w:type="spellStart"/>
            <w:r>
              <w:t>Hegar</w:t>
            </w:r>
            <w:proofErr w:type="spellEnd"/>
            <w:r>
              <w:t xml:space="preserve"> hasta el número 6.</w:t>
            </w:r>
          </w:p>
          <w:p w:rsidR="00C93C6A" w:rsidRDefault="00C93C6A" w:rsidP="00C93C6A">
            <w:pPr>
              <w:pStyle w:val="NormalWeb"/>
            </w:pPr>
            <w:r>
              <w:t xml:space="preserve">6. Material endoscopio. </w:t>
            </w:r>
          </w:p>
          <w:p w:rsidR="00C93C6A" w:rsidRDefault="00C93C6A" w:rsidP="00C93C6A">
            <w:pPr>
              <w:pStyle w:val="NormalWeb"/>
              <w:numPr>
                <w:ilvl w:val="0"/>
                <w:numId w:val="4"/>
              </w:numPr>
            </w:pPr>
            <w:proofErr w:type="spellStart"/>
            <w:r>
              <w:t>Histeroscopio</w:t>
            </w:r>
            <w:proofErr w:type="spellEnd"/>
            <w:r>
              <w:t xml:space="preserve"> y su vaina. Para </w:t>
            </w:r>
            <w:proofErr w:type="spellStart"/>
            <w:r>
              <w:t>histeroscopia</w:t>
            </w:r>
            <w:proofErr w:type="spellEnd"/>
            <w:r>
              <w:t xml:space="preserve"> en consulta no deben exceder los 6 mm en su diámetro externo. </w:t>
            </w:r>
          </w:p>
          <w:p w:rsidR="00C93C6A" w:rsidRDefault="00C93C6A" w:rsidP="00C93C6A">
            <w:pPr>
              <w:pStyle w:val="NormalWeb"/>
              <w:numPr>
                <w:ilvl w:val="0"/>
                <w:numId w:val="4"/>
              </w:numPr>
            </w:pPr>
            <w:r>
              <w:t xml:space="preserve">Fuente de luz con lámpara halógena o de </w:t>
            </w:r>
            <w:proofErr w:type="spellStart"/>
            <w:r>
              <w:t>xenon</w:t>
            </w:r>
            <w:proofErr w:type="spellEnd"/>
            <w:r>
              <w:t xml:space="preserve"> con potencia de salida de 100 a 300 </w:t>
            </w:r>
            <w:proofErr w:type="spellStart"/>
            <w:r>
              <w:t>watts</w:t>
            </w:r>
            <w:proofErr w:type="spellEnd"/>
            <w:r>
              <w:t xml:space="preserve"> y cable de fibra óptica. </w:t>
            </w:r>
          </w:p>
          <w:p w:rsidR="00C93C6A" w:rsidRDefault="00C93C6A" w:rsidP="00C93C6A">
            <w:pPr>
              <w:pStyle w:val="NormalWeb"/>
              <w:numPr>
                <w:ilvl w:val="0"/>
                <w:numId w:val="4"/>
              </w:numPr>
            </w:pPr>
            <w:r>
              <w:t xml:space="preserve">Medios de expansión </w:t>
            </w:r>
            <w:proofErr w:type="spellStart"/>
            <w:r>
              <w:t>intarcavitarios</w:t>
            </w:r>
            <w:proofErr w:type="spellEnd"/>
            <w:r>
              <w:t xml:space="preserve">. El más empleado para </w:t>
            </w:r>
            <w:proofErr w:type="spellStart"/>
            <w:r>
              <w:t>histeroscopia</w:t>
            </w:r>
            <w:proofErr w:type="spellEnd"/>
            <w:r>
              <w:t xml:space="preserve"> diagnóstica es el CO</w:t>
            </w:r>
            <w:r>
              <w:rPr>
                <w:vertAlign w:val="subscript"/>
              </w:rPr>
              <w:t>2</w:t>
            </w:r>
            <w:r>
              <w:t xml:space="preserve">, aunque puede emplearse también </w:t>
            </w:r>
            <w:proofErr w:type="spellStart"/>
            <w:r>
              <w:t>dextrano</w:t>
            </w:r>
            <w:proofErr w:type="spellEnd"/>
            <w:r>
              <w:t xml:space="preserve"> 70 o solución </w:t>
            </w:r>
            <w:proofErr w:type="spellStart"/>
            <w:r>
              <w:t>glucosada</w:t>
            </w:r>
            <w:proofErr w:type="spellEnd"/>
            <w:r>
              <w:t xml:space="preserve"> al 5 por 100.</w:t>
            </w:r>
          </w:p>
          <w:p w:rsidR="00C93C6A" w:rsidRDefault="00C93C6A" w:rsidP="00C93C6A">
            <w:pPr>
              <w:pStyle w:val="NormalWeb"/>
            </w:pPr>
            <w:r>
              <w:t xml:space="preserve">7. Otros: </w:t>
            </w:r>
            <w:proofErr w:type="spellStart"/>
            <w:r>
              <w:t>microlegra</w:t>
            </w:r>
            <w:proofErr w:type="spellEnd"/>
            <w:r>
              <w:t>, pinzas para biopsia, material fotográfico, etc.</w:t>
            </w: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TÉCNICA DE LA HISTEROSCOPIA DIAGNÓSTICA</w:t>
            </w:r>
          </w:p>
          <w:p w:rsidR="00C93C6A" w:rsidRDefault="00C93C6A" w:rsidP="00C93C6A">
            <w:pPr>
              <w:pStyle w:val="NormalWeb"/>
            </w:pPr>
            <w:r>
              <w:t xml:space="preserve">Previo al inicio de la exploración es necesaria la comprobación del correcto funcionamiento de todo el utillaje (fuente de luz, insufladores, etc.) y el aclarado con suero fisiológico del </w:t>
            </w:r>
            <w:proofErr w:type="spellStart"/>
            <w:r>
              <w:t>histeroscopio</w:t>
            </w:r>
            <w:proofErr w:type="spellEnd"/>
            <w:r>
              <w:t xml:space="preserve"> y vaina para eliminar el antiséptico utilizado </w:t>
            </w:r>
            <w:r>
              <w:lastRenderedPageBreak/>
              <w:t>en la esterilización.</w:t>
            </w:r>
          </w:p>
          <w:p w:rsidR="00C93C6A" w:rsidRDefault="00C93C6A" w:rsidP="00C93C6A">
            <w:pPr>
              <w:pStyle w:val="NormalWeb"/>
            </w:pPr>
            <w:r>
              <w:t>Todos los pasos deben hacerse con gran suavidad para evitar en lo posible el dolor, lo que facilita la colaboración por parte de la paciente y evita contracturas que dificultan la técnica. Es imprescindible la explicación a la paciente acerca de la exploración que vamos a efectuar.</w:t>
            </w: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Momento de realizar la exploración</w:t>
            </w:r>
          </w:p>
          <w:p w:rsidR="00C93C6A" w:rsidRDefault="00C93C6A" w:rsidP="00C93C6A">
            <w:pPr>
              <w:pStyle w:val="NormalWeb"/>
            </w:pPr>
            <w:r>
              <w:t xml:space="preserve">Dependerá de la sospecha diagnóstica que indica la </w:t>
            </w:r>
            <w:proofErr w:type="spellStart"/>
            <w:r>
              <w:t>histeroscopia</w:t>
            </w:r>
            <w:proofErr w:type="spellEnd"/>
            <w:r>
              <w:t xml:space="preserve">, aunque en general la fase </w:t>
            </w:r>
            <w:proofErr w:type="spellStart"/>
            <w:r>
              <w:t>proliferativa</w:t>
            </w:r>
            <w:proofErr w:type="spellEnd"/>
            <w:r>
              <w:t xml:space="preserve"> es la que más ventajas ofrece (moco más fluido y transparente, istmo más relajado). Para la valoración de los </w:t>
            </w:r>
            <w:proofErr w:type="spellStart"/>
            <w:r>
              <w:t>transtornos</w:t>
            </w:r>
            <w:proofErr w:type="spellEnd"/>
            <w:r>
              <w:t xml:space="preserve"> funcionales y esterilidad es mejor la segunda fase del ciclo.</w:t>
            </w: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Preparación de la paciente</w:t>
            </w:r>
          </w:p>
          <w:p w:rsidR="00C93C6A" w:rsidRDefault="00C93C6A" w:rsidP="00C93C6A">
            <w:pPr>
              <w:pStyle w:val="NormalWeb"/>
            </w:pPr>
            <w:r>
              <w:t xml:space="preserve">Se coloca a la paciente en posición ginecológica con las piernas lo más separadas posible para permitir la movilidad del explorador y con las nalgas sobrepasando ligeramente el borde de la mesa de exploración. A continuación se realiza un tacto vaginal combinado, descartando cualquier proceso que contraindique la </w:t>
            </w:r>
            <w:proofErr w:type="spellStart"/>
            <w:r>
              <w:t>histeroscopia</w:t>
            </w:r>
            <w:proofErr w:type="spellEnd"/>
            <w:r>
              <w:t xml:space="preserve"> y comprobando la posición uterina. Es recomendable hacer orinar antes a la paciente.</w:t>
            </w:r>
          </w:p>
          <w:p w:rsidR="00C93C6A" w:rsidRDefault="00C93C6A" w:rsidP="00C93C6A">
            <w:pPr>
              <w:pStyle w:val="NormalWeb"/>
            </w:pPr>
            <w:r>
              <w:t>La administración de espasmolíticos o sedantes no es necesaria en la mayoría de los casos. Por lo general la correcta información a la paciente es suficiente para conseguir que pierda el miedo y la hace más colaboradora. Pueden utilizarse 1-2 horas antes en pacientes atemorizadas o nerviosas.</w:t>
            </w:r>
          </w:p>
          <w:p w:rsidR="00C93C6A" w:rsidRDefault="00C93C6A" w:rsidP="00C93C6A">
            <w:pPr>
              <w:pStyle w:val="NormalWeb"/>
            </w:pPr>
            <w:r>
              <w:t xml:space="preserve">La infiltración con anestésico tampoco es necesaria generalmente en la </w:t>
            </w:r>
            <w:proofErr w:type="spellStart"/>
            <w:r>
              <w:t>histeroscopia</w:t>
            </w:r>
            <w:proofErr w:type="spellEnd"/>
            <w:r>
              <w:t xml:space="preserve"> ambulante. En caso de dolor o necesidad de dilatación puede realizarse infiltración cervical o bloqueo </w:t>
            </w:r>
            <w:proofErr w:type="spellStart"/>
            <w:r>
              <w:t>paracervical</w:t>
            </w:r>
            <w:proofErr w:type="spellEnd"/>
            <w:r>
              <w:t>.</w:t>
            </w:r>
          </w:p>
          <w:p w:rsidR="00C93C6A" w:rsidRDefault="00C93C6A" w:rsidP="00C93C6A">
            <w:pPr>
              <w:pStyle w:val="NormalWeb"/>
            </w:pPr>
            <w:proofErr w:type="spellStart"/>
            <w:r>
              <w:rPr>
                <w:rStyle w:val="Textoennegrita"/>
              </w:rPr>
              <w:t>Histeroscopia</w:t>
            </w:r>
            <w:proofErr w:type="spellEnd"/>
          </w:p>
          <w:p w:rsidR="00C93C6A" w:rsidRDefault="00C93C6A" w:rsidP="00C93C6A">
            <w:pPr>
              <w:pStyle w:val="NormalWeb"/>
            </w:pPr>
            <w:r>
              <w:t xml:space="preserve">Se introduce el espéculo y se lava la vagina y el cuello con una solución antiséptica, secando a continuación cuidadosamente para evitar la aparición de burbujas. A continuación se coloca en el cuello la pinza de tracción, en el labio anterior en caso de útero en </w:t>
            </w:r>
            <w:proofErr w:type="spellStart"/>
            <w:r>
              <w:t>anteflexión</w:t>
            </w:r>
            <w:proofErr w:type="spellEnd"/>
            <w:r>
              <w:t xml:space="preserve"> y en el labio posterior en caso contrario. Sólo se realiza </w:t>
            </w:r>
            <w:proofErr w:type="spellStart"/>
            <w:r>
              <w:t>histerometría</w:t>
            </w:r>
            <w:proofErr w:type="spellEnd"/>
            <w:r>
              <w:t xml:space="preserve"> en los casos en que el avance del </w:t>
            </w:r>
            <w:proofErr w:type="spellStart"/>
            <w:r>
              <w:t>histeroscopio</w:t>
            </w:r>
            <w:proofErr w:type="spellEnd"/>
            <w:r>
              <w:t xml:space="preserve"> sea dificultoso a través del cuello para comprobar su dirección. La utilización sistemática puede producir sangrado cervical o endometrial que dificulta la visión.</w:t>
            </w:r>
          </w:p>
          <w:p w:rsidR="00C93C6A" w:rsidRDefault="00C93C6A" w:rsidP="00C93C6A">
            <w:pPr>
              <w:pStyle w:val="NormalWeb"/>
            </w:pPr>
            <w:r>
              <w:t>Con la luz y el gas conectados se apoya la óptica en el orificio cervical externo y se progresa unos milímetros a través del canal, avanzando después lentamente bajo visión directa para que el CO</w:t>
            </w:r>
            <w:r>
              <w:rPr>
                <w:vertAlign w:val="subscript"/>
              </w:rPr>
              <w:t>2</w:t>
            </w:r>
            <w:r>
              <w:t xml:space="preserve"> produzca la suficiente distensión y apertura del canal y facilite el avance. No deben usarse flujos superiores a 40-60 ml/min. </w:t>
            </w:r>
            <w:proofErr w:type="gramStart"/>
            <w:r>
              <w:t>y</w:t>
            </w:r>
            <w:proofErr w:type="gramEnd"/>
            <w:r>
              <w:t xml:space="preserve"> presiones que excedan los 100 </w:t>
            </w:r>
            <w:proofErr w:type="spellStart"/>
            <w:r>
              <w:t>mmHg</w:t>
            </w:r>
            <w:proofErr w:type="spellEnd"/>
            <w:r>
              <w:t>.</w:t>
            </w:r>
          </w:p>
          <w:p w:rsidR="00C93C6A" w:rsidRDefault="00C93C6A" w:rsidP="00C93C6A">
            <w:pPr>
              <w:pStyle w:val="NormalWeb"/>
            </w:pPr>
            <w:r>
              <w:t xml:space="preserve">Simultáneamente se observa la mucosa </w:t>
            </w:r>
            <w:proofErr w:type="spellStart"/>
            <w:r>
              <w:t>endocervical</w:t>
            </w:r>
            <w:proofErr w:type="spellEnd"/>
            <w:r>
              <w:t xml:space="preserve">, características del moco, </w:t>
            </w:r>
            <w:r>
              <w:lastRenderedPageBreak/>
              <w:t xml:space="preserve">etc. Una vez alcanzado el útero se realiza una visión panorámica de la cavidad avanzando el </w:t>
            </w:r>
            <w:proofErr w:type="spellStart"/>
            <w:r>
              <w:t>histeroscopio</w:t>
            </w:r>
            <w:proofErr w:type="spellEnd"/>
            <w:r>
              <w:t xml:space="preserve"> hasta ver con claridad los orificios </w:t>
            </w:r>
            <w:proofErr w:type="spellStart"/>
            <w:r>
              <w:t>tubáricos</w:t>
            </w:r>
            <w:proofErr w:type="spellEnd"/>
            <w:r>
              <w:t xml:space="preserve"> y el </w:t>
            </w:r>
            <w:proofErr w:type="spellStart"/>
            <w:r>
              <w:t>fundus</w:t>
            </w:r>
            <w:proofErr w:type="spellEnd"/>
            <w:r>
              <w:t xml:space="preserve">. Después se estudia el aspecto de la mucosa endometrial recorriendo de forma sistemática todas sus caras y se mide el grosor apoyando suavemente el </w:t>
            </w:r>
            <w:proofErr w:type="spellStart"/>
            <w:r>
              <w:t>histeroscopio</w:t>
            </w:r>
            <w:proofErr w:type="spellEnd"/>
            <w:r>
              <w:t xml:space="preserve"> hasta dejar huella. Después se retira lentamente el </w:t>
            </w:r>
            <w:proofErr w:type="spellStart"/>
            <w:r>
              <w:t>histeroscopio</w:t>
            </w:r>
            <w:proofErr w:type="spellEnd"/>
            <w:r>
              <w:t xml:space="preserve"> viendo de nuevo la cavidad y el canal </w:t>
            </w:r>
            <w:proofErr w:type="spellStart"/>
            <w:r>
              <w:t>endocervical</w:t>
            </w:r>
            <w:proofErr w:type="spellEnd"/>
            <w:r>
              <w:t>.</w:t>
            </w:r>
          </w:p>
          <w:p w:rsidR="00C93C6A" w:rsidRDefault="00C93C6A" w:rsidP="00C93C6A">
            <w:pPr>
              <w:pStyle w:val="NormalWeb"/>
            </w:pPr>
            <w:r>
              <w:t>El tiempo que se tarda habitualmente en la exploración no sobrepasa los 5 minutos.</w:t>
            </w: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COMPLICACIONES</w:t>
            </w:r>
          </w:p>
          <w:p w:rsidR="00C93C6A" w:rsidRDefault="00C93C6A" w:rsidP="00C93C6A">
            <w:pPr>
              <w:pStyle w:val="NormalWeb"/>
            </w:pPr>
            <w:r>
              <w:t>1. Infección: el paso del medio de distensión a través del cuello, cuerpo y las trompas favorece el arrastre de gérmenes a la cavidad abdominal con el consiguiente riesgo infeccioso.</w:t>
            </w:r>
          </w:p>
          <w:p w:rsidR="00C93C6A" w:rsidRDefault="00C93C6A" w:rsidP="00C93C6A">
            <w:pPr>
              <w:pStyle w:val="NormalWeb"/>
            </w:pPr>
            <w:r>
              <w:t xml:space="preserve">2. Perforación uterina, lesiones cervicales y falsas vías. Especialmente frecuentes en úteros en </w:t>
            </w:r>
            <w:proofErr w:type="spellStart"/>
            <w:r>
              <w:t>anteversión</w:t>
            </w:r>
            <w:proofErr w:type="spellEnd"/>
            <w:r>
              <w:t xml:space="preserve"> forzada, úteros cicatriciales, úteros grávidos o puerperales o cuando se realizan maniobras bruscas.</w:t>
            </w:r>
          </w:p>
          <w:p w:rsidR="00C93C6A" w:rsidRDefault="00C93C6A" w:rsidP="00C93C6A">
            <w:pPr>
              <w:pStyle w:val="NormalWeb"/>
            </w:pPr>
            <w:r>
              <w:t>3. Sangrado uterino o cervical.</w:t>
            </w:r>
          </w:p>
          <w:p w:rsidR="00C93C6A" w:rsidRDefault="00C93C6A" w:rsidP="00C93C6A">
            <w:pPr>
              <w:pStyle w:val="NormalWeb"/>
            </w:pPr>
            <w:r>
              <w:t xml:space="preserve">4. Dolor intenso y </w:t>
            </w:r>
            <w:proofErr w:type="spellStart"/>
            <w:r>
              <w:t>omalgia</w:t>
            </w:r>
            <w:proofErr w:type="spellEnd"/>
            <w:r>
              <w:t>. Generalmente se producen cuando la exploración es difícil y se tarda mayor tiempo del habitual.</w:t>
            </w:r>
          </w:p>
          <w:p w:rsidR="00C93C6A" w:rsidRDefault="00C93C6A" w:rsidP="00C93C6A">
            <w:pPr>
              <w:pStyle w:val="NormalWeb"/>
              <w:rPr>
                <w:rStyle w:val="Textoennegrita"/>
              </w:rPr>
            </w:pPr>
          </w:p>
          <w:p w:rsidR="00C93C6A" w:rsidRDefault="00C93C6A" w:rsidP="00C93C6A">
            <w:pPr>
              <w:pStyle w:val="NormalWeb"/>
            </w:pPr>
            <w:r>
              <w:rPr>
                <w:rStyle w:val="Textoennegrita"/>
              </w:rPr>
              <w:t>BIBLIOGRAFÍA</w:t>
            </w:r>
          </w:p>
          <w:p w:rsidR="00C93C6A" w:rsidRDefault="00C93C6A" w:rsidP="00C93C6A">
            <w:pPr>
              <w:pStyle w:val="NormalWeb"/>
            </w:pPr>
            <w:r>
              <w:t xml:space="preserve">1. Labastida Nicolau R: Tratado y Atlas de </w:t>
            </w:r>
            <w:proofErr w:type="spellStart"/>
            <w:r>
              <w:t>Histeroscopia</w:t>
            </w:r>
            <w:proofErr w:type="spellEnd"/>
            <w:r>
              <w:t>.</w:t>
            </w:r>
          </w:p>
          <w:p w:rsidR="00C93C6A" w:rsidRDefault="00C93C6A" w:rsidP="00C93C6A">
            <w:pPr>
              <w:pStyle w:val="NormalWeb"/>
            </w:pPr>
            <w:r>
              <w:t xml:space="preserve">2. </w:t>
            </w:r>
            <w:proofErr w:type="spellStart"/>
            <w:r>
              <w:t>Wheeler</w:t>
            </w:r>
            <w:proofErr w:type="spellEnd"/>
            <w:r>
              <w:t xml:space="preserve"> M, </w:t>
            </w:r>
            <w:proofErr w:type="spellStart"/>
            <w:r>
              <w:t>DeCherney</w:t>
            </w:r>
            <w:proofErr w:type="spellEnd"/>
            <w:r>
              <w:t xml:space="preserve"> J: </w:t>
            </w:r>
            <w:proofErr w:type="spellStart"/>
            <w:r>
              <w:t>Histeroscopia</w:t>
            </w:r>
            <w:proofErr w:type="spellEnd"/>
            <w:r>
              <w:t xml:space="preserve"> en el consultorio. Ginecología y Obstetricia. Temas actuales. Interamericana. Vol. 1.1988.</w:t>
            </w:r>
          </w:p>
          <w:p w:rsidR="00C93C6A" w:rsidRDefault="00C93C6A" w:rsidP="00C93C6A">
            <w:pPr>
              <w:pStyle w:val="NormalWeb"/>
            </w:pPr>
            <w:r>
              <w:t xml:space="preserve">3. </w:t>
            </w:r>
            <w:proofErr w:type="spellStart"/>
            <w:r>
              <w:t>Randle</w:t>
            </w:r>
            <w:proofErr w:type="spellEnd"/>
            <w:r>
              <w:t xml:space="preserve"> S C.: Indicaciones para </w:t>
            </w:r>
            <w:proofErr w:type="spellStart"/>
            <w:r>
              <w:t>histeroscopia</w:t>
            </w:r>
            <w:proofErr w:type="spellEnd"/>
            <w:r>
              <w:t>. Ginecología y Obstetricia. Temas actuales. Interamericana. Vol. 1. 1988.</w:t>
            </w:r>
          </w:p>
          <w:p w:rsidR="00C93C6A" w:rsidRPr="00C93C6A" w:rsidRDefault="00C93C6A" w:rsidP="00C93C6A">
            <w:pPr>
              <w:pStyle w:val="NormalWeb"/>
              <w:rPr>
                <w:lang w:val="en-US"/>
              </w:rPr>
            </w:pPr>
            <w:r>
              <w:t xml:space="preserve">4. Valle RF.: </w:t>
            </w:r>
            <w:proofErr w:type="spellStart"/>
            <w:r>
              <w:t>Histeroscopy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gynecologic</w:t>
            </w:r>
            <w:proofErr w:type="spellEnd"/>
            <w:r>
              <w:t xml:space="preserve"> diagnosis. </w:t>
            </w:r>
            <w:r w:rsidRPr="00C93C6A">
              <w:rPr>
                <w:lang w:val="en-US"/>
              </w:rPr>
              <w:t>Clin Obstet Gynecol 26: 253-276.1983.</w:t>
            </w:r>
          </w:p>
          <w:p w:rsidR="00C93C6A" w:rsidRDefault="00C93C6A" w:rsidP="00C93C6A">
            <w:pPr>
              <w:pStyle w:val="NormalWeb"/>
            </w:pPr>
            <w:r w:rsidRPr="00C93C6A">
              <w:rPr>
                <w:lang w:val="en-US"/>
              </w:rPr>
              <w:t xml:space="preserve">5. Valle RF, Sciare JJ: Current status of histeroscopy in gynecologic practica. </w:t>
            </w:r>
            <w:proofErr w:type="spellStart"/>
            <w:r>
              <w:t>Fertil</w:t>
            </w:r>
            <w:proofErr w:type="spellEnd"/>
            <w:r>
              <w:t xml:space="preserve"> </w:t>
            </w:r>
            <w:proofErr w:type="spellStart"/>
            <w:r>
              <w:t>Steril</w:t>
            </w:r>
            <w:proofErr w:type="spellEnd"/>
            <w:r>
              <w:t xml:space="preserve"> 32: 619-632.1979.</w:t>
            </w:r>
          </w:p>
          <w:p w:rsidR="00C93C6A" w:rsidRDefault="00C93C6A" w:rsidP="00C93C6A">
            <w:pPr>
              <w:pStyle w:val="protocolo"/>
            </w:pPr>
            <w:r>
              <w:rPr>
                <w:rStyle w:val="nfasis"/>
              </w:rPr>
              <w:t xml:space="preserve">«Los Protocolos Asistenciales en Ginecología y Obstetricia y los Protocolos de Procedimientos Diagnósticos y Terapéuticos de la Sociedad Española de Ginecología y Obstetricia pretenden contribuir al buen quehacer profesional de todos los ginecólogos, especialmente de los más alejados de los grandes hospitales y clínicas universitarias. Presentan métodos y técnicas de atención clínica aceptadas y utilizadas por especialistas en cada tema. Estos protocolos no deben </w:t>
            </w:r>
            <w:r>
              <w:rPr>
                <w:rStyle w:val="nfasis"/>
              </w:rPr>
              <w:lastRenderedPageBreak/>
              <w:t>interpretarse de forma rígida ni excluyente, sino que deben servir de guía para la atención individualizada a las pacientes. No agotan todas las posibilidades ni pretenden sustituir a los protocolos ya existentes en departamentos y servicios hospitalarios».</w:t>
            </w: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CO"/>
              </w:rPr>
            </w:pPr>
          </w:p>
          <w:p w:rsidR="00C93C6A" w:rsidRPr="00C93C6A" w:rsidRDefault="00C93C6A" w:rsidP="00C93C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s-CO"/>
              </w:rPr>
            </w:pPr>
          </w:p>
        </w:tc>
      </w:tr>
    </w:tbl>
    <w:p w:rsidR="007F17EE" w:rsidRDefault="007F17EE"/>
    <w:sectPr w:rsidR="007F17EE" w:rsidSect="007F1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81D"/>
    <w:multiLevelType w:val="multilevel"/>
    <w:tmpl w:val="FA7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701FF"/>
    <w:multiLevelType w:val="multilevel"/>
    <w:tmpl w:val="62E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84A11"/>
    <w:multiLevelType w:val="multilevel"/>
    <w:tmpl w:val="7A1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A0A4E"/>
    <w:multiLevelType w:val="multilevel"/>
    <w:tmpl w:val="03A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93C6A"/>
    <w:rsid w:val="007F17EE"/>
    <w:rsid w:val="00C9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3C6A"/>
    <w:rPr>
      <w:rFonts w:ascii="Verdana" w:hAnsi="Verdana" w:hint="default"/>
      <w:b/>
      <w:bCs/>
      <w:strike w:val="0"/>
      <w:dstrike w:val="0"/>
      <w:color w:val="03689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93C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es-CO"/>
    </w:rPr>
  </w:style>
  <w:style w:type="character" w:customStyle="1" w:styleId="contentdescription1">
    <w:name w:val="contentdescription1"/>
    <w:basedOn w:val="Fuentedeprrafopredeter"/>
    <w:rsid w:val="00C93C6A"/>
    <w:rPr>
      <w:rFonts w:ascii="Verdana" w:hAnsi="Verdana" w:hint="default"/>
      <w:color w:val="000000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C93C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C6A"/>
    <w:rPr>
      <w:rFonts w:ascii="Tahoma" w:hAnsi="Tahoma" w:cs="Tahoma"/>
      <w:sz w:val="16"/>
      <w:szCs w:val="16"/>
    </w:rPr>
  </w:style>
  <w:style w:type="paragraph" w:customStyle="1" w:styleId="protocolo">
    <w:name w:val="protocolo"/>
    <w:basedOn w:val="Normal"/>
    <w:rsid w:val="00C93C6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es-CO"/>
    </w:rPr>
  </w:style>
  <w:style w:type="character" w:styleId="nfasis">
    <w:name w:val="Emphasis"/>
    <w:basedOn w:val="Fuentedeprrafopredeter"/>
    <w:uiPriority w:val="20"/>
    <w:qFormat/>
    <w:rsid w:val="00C93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ego.com/index.php?option=content&amp;task=view&amp;id=117&amp;Itemid=40&amp;limit=1&amp;limitstar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ego.com/index.php?option=content&amp;task=view&amp;id=117&amp;Itemid=40&amp;limit=1&amp;limitstart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7436</Characters>
  <Application>Microsoft Office Word</Application>
  <DocSecurity>0</DocSecurity>
  <Lines>61</Lines>
  <Paragraphs>17</Paragraphs>
  <ScaleCrop>false</ScaleCrop>
  <Company>Toshiba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2010-01-27T13:00:00Z</dcterms:created>
  <dcterms:modified xsi:type="dcterms:W3CDTF">2010-01-27T13:06:00Z</dcterms:modified>
</cp:coreProperties>
</file>